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简体" w:eastAsia="方正小标宋简体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6"/>
          <w:szCs w:val="36"/>
        </w:rPr>
      </w:pPr>
      <w:r>
        <w:rPr>
          <w:rFonts w:ascii="方正小标宋简体" w:eastAsia="方正小标宋简体" w:hint="eastAsia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6"/>
          <w:szCs w:val="36"/>
        </w:rPr>
        <w:t>采购需求一览表</w:t>
      </w:r>
    </w:p>
    <w:p>
      <w:pPr>
        <w:spacing w:line="500" w:lineRule="exact"/>
        <w:jc w:val="center"/>
        <w:rPr>
          <w:rFonts w:ascii="方正小标宋简体" w:eastAsia="方正小标宋简体" w:hint="eastAsia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6"/>
          <w:szCs w:val="36"/>
        </w:rPr>
      </w:pP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80"/>
        <w:gridCol w:w="720"/>
        <w:gridCol w:w="718"/>
        <w:gridCol w:w="4695"/>
      </w:tblGrid>
      <w:tr>
        <w:tc>
          <w:tcPr>
            <w:tcW w:w="70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序号</w:t>
            </w:r>
          </w:p>
        </w:tc>
        <w:tc>
          <w:tcPr>
            <w:tcW w:w="16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服务名称</w:t>
            </w:r>
          </w:p>
        </w:tc>
        <w:tc>
          <w:tcPr>
            <w:tcW w:w="72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数量</w:t>
            </w:r>
          </w:p>
        </w:tc>
        <w:tc>
          <w:tcPr>
            <w:tcW w:w="7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单位</w:t>
            </w:r>
          </w:p>
        </w:tc>
        <w:tc>
          <w:tcPr>
            <w:tcW w:w="469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项目需求或技术参数</w:t>
            </w:r>
          </w:p>
        </w:tc>
      </w:tr>
      <w:tr>
        <w:trPr>
          <w:trHeight w:val="727"/>
        </w:trPr>
        <w:tc>
          <w:tcPr>
            <w:tcW w:w="70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cs="仿宋_GB2312" w:hint="eastAsia"/>
                <w:szCs w:val="24"/>
                <w:u w:val="none"/>
              </w:rPr>
              <w:t>固定次产清查服务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项</w:t>
            </w:r>
          </w:p>
        </w:tc>
        <w:tc>
          <w:tcPr>
            <w:tcW w:w="4695" w:type="dxa"/>
            <w:vAlign w:val="center"/>
          </w:tcPr>
          <w:p>
            <w:pPr>
              <w:ind w:firstLine="0"/>
              <w:jc w:val="both"/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</w:pPr>
            <w:r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1.开展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2025年1月1日至2025年12月31日期间登记入账的所有固定资产进行全面清查，包括</w:t>
            </w:r>
            <w:r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但不限于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办公设备、办公家具、公务用车、专用设备及其他单价在1000元以上、使用年限一年以上的有形资产。</w:t>
            </w:r>
          </w:p>
          <w:p>
            <w:pPr>
              <w:ind w:firstLine="0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2. 组织专业人员开展实物盘点，做到“见物就点、见账就核”，确保清查覆盖率达到100%。</w:t>
            </w:r>
          </w:p>
          <w:p>
            <w:pPr>
              <w:ind w:firstLine="0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3.将实物信息与财务账目、资产管理系统数据进行逐项比对，查明差异原因。</w:t>
            </w:r>
          </w:p>
          <w:p>
            <w:pPr>
              <w:ind w:firstLine="0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4.对标签缺失、信息不全的资产补充粘贴资产标签，更新资产卡片信息。</w:t>
            </w:r>
          </w:p>
          <w:p>
            <w:pPr>
              <w:ind w:firstLine="0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5.对盘盈、盘亏、毁损、闲置、待报废等异常情况形成清单，并提出处理建议。</w:t>
            </w:r>
          </w:p>
          <w:p>
            <w:pPr>
              <w:ind w:firstLine="0"/>
              <w:jc w:val="both"/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6.出具完整的《固定资产清查工作报告》，内容包括清查概况、组织实施、数据对比、存在问题、整改建议及附件（如盘点明细表、差异汇总表等）</w:t>
            </w:r>
          </w:p>
          <w:p>
            <w:pPr>
              <w:ind w:firstLine="0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7.协助做好固定资产账务处理及对整改做好指导。</w:t>
            </w:r>
          </w:p>
          <w:p>
            <w:pPr>
              <w:ind w:firstLine="0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8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.配备不少于3名具有相关工作经验的专业人员参与现场工作。</w:t>
            </w:r>
          </w:p>
        </w:tc>
      </w:tr>
      <w:tr>
        <w:trPr>
          <w:trHeight w:val="629"/>
        </w:trPr>
        <w:tc>
          <w:tcPr>
            <w:tcW w:w="8521" w:type="dxa"/>
            <w:gridSpan w:val="5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rPr>
                <w:rFonts w:ascii="仿宋_GB2312" w:eastAsia="仿宋_GB2312" w:hint="eastAsia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商务条款及其他要求</w:t>
            </w:r>
          </w:p>
        </w:tc>
      </w:tr>
      <w:tr>
        <w:trPr>
          <w:trHeight w:val="629"/>
        </w:trPr>
        <w:tc>
          <w:tcPr>
            <w:tcW w:w="2388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both"/>
              <w:rPr>
                <w:rFonts w:ascii="仿宋_GB2312" w:eastAsia="仿宋_GB2312" w:hint="eastAsia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报价要求</w:t>
            </w:r>
          </w:p>
        </w:tc>
        <w:tc>
          <w:tcPr>
            <w:tcW w:w="6133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Cs w:val="24"/>
                <w:shd w:val="clear" w:color="auto" w:fill="FFFFFF"/>
              </w:rPr>
              <w:t>报价包括服务成本、人员劳务、设备耗材、运输、数据处理、报告编制、税费及其它所有成本费用的总和；采购人不再支付任何费用。</w:t>
            </w:r>
          </w:p>
        </w:tc>
      </w:tr>
      <w:tr>
        <w:trPr>
          <w:trHeight w:val="628"/>
        </w:trPr>
        <w:tc>
          <w:tcPr>
            <w:tcW w:w="2388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both"/>
              <w:rPr>
                <w:rFonts w:ascii="仿宋_GB2312" w:eastAsia="仿宋_GB2312" w:hint="eastAsia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服务期限及地点</w:t>
            </w:r>
          </w:p>
        </w:tc>
        <w:tc>
          <w:tcPr>
            <w:tcW w:w="6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 w:val="0"/>
              <w:jc w:val="both"/>
              <w:textAlignment w:val="auto"/>
              <w:rPr>
                <w:rFonts w:ascii="仿宋_GB2312" w:eastAsia="仿宋_GB2312" w:cs="Times New Roman" w:hint="eastAsia"/>
                <w:vanish w:val="0"/>
                <w:kern w:val="2"/>
                <w:szCs w:val="24"/>
              </w:rPr>
            </w:pP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</w:rPr>
              <w:t>1、交货时间：</w:t>
            </w:r>
            <w:r>
              <w:rPr>
                <w:rFonts w:ascii="仿宋_GB2312" w:eastAsia="仿宋_GB2312" w:cs="Times New Roman"/>
                <w:vanish w:val="0"/>
                <w:kern w:val="2"/>
                <w:szCs w:val="24"/>
              </w:rPr>
              <w:t>2026年6月30日前完成并出具正式书面报告。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</w:rPr>
              <w:t>2、交货地点：南宁市区。</w:t>
            </w:r>
          </w:p>
        </w:tc>
      </w:tr>
      <w:tr>
        <w:trPr>
          <w:trHeight w:val="629"/>
        </w:trPr>
        <w:tc>
          <w:tcPr>
            <w:tcW w:w="2388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both"/>
              <w:rPr>
                <w:rFonts w:ascii="仿宋_GB2312" w:eastAsia="仿宋_GB2312" w:hint="eastAsia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付款方式</w:t>
            </w:r>
          </w:p>
        </w:tc>
        <w:tc>
          <w:tcPr>
            <w:tcW w:w="6133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both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</w:rPr>
              <w:t>自签订合同</w:t>
            </w:r>
            <w:r>
              <w:rPr>
                <w:rFonts w:ascii="仿宋_GB2312" w:eastAsia="仿宋_GB2312" w:cs="Times New Roman"/>
                <w:vanish w:val="0"/>
                <w:kern w:val="2"/>
                <w:szCs w:val="24"/>
              </w:rPr>
              <w:t>之日起</w:t>
            </w: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  <w:u w:val="single"/>
              </w:rPr>
              <w:t>10</w:t>
            </w: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</w:rPr>
              <w:t>个工作日内支付合同金额50%，项目验收合格之日起</w:t>
            </w:r>
            <w:r>
              <w:rPr>
                <w:rFonts w:ascii="仿宋_GB2312" w:eastAsia="仿宋_GB2312" w:cs="Times New Roman"/>
                <w:vanish w:val="0"/>
                <w:kern w:val="2"/>
                <w:szCs w:val="24"/>
                <w:u w:val="single"/>
              </w:rPr>
              <w:t>10</w:t>
            </w: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</w:rPr>
              <w:t>个</w:t>
            </w: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  <w:lang w:eastAsia="zh-CN"/>
              </w:rPr>
              <w:t>工作日</w:t>
            </w:r>
            <w:r>
              <w:rPr>
                <w:rFonts w:ascii="仿宋_GB2312" w:eastAsia="仿宋_GB2312" w:cs="Times New Roman" w:hint="eastAsia"/>
                <w:vanish w:val="0"/>
                <w:kern w:val="2"/>
                <w:szCs w:val="24"/>
              </w:rPr>
              <w:t>内支付合同金额50%（不计利息）</w:t>
            </w:r>
          </w:p>
        </w:tc>
      </w:tr>
    </w:tbl>
    <w:p>
      <w:pPr>
        <w:spacing w:line="500" w:lineRule="exact"/>
        <w:rPr>
          <w:rFonts w:ascii="仿宋_GB2312" w:eastAsia="仿宋_GB2312" w:hint="eastAsia"/>
          <w:szCs w:val="24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552</Words>
  <Characters>584</Characters>
  <Lines>51</Lines>
  <Paragraphs>27</Paragraphs>
  <CharactersWithSpaces>585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王代琨</dc:creator>
  <cp:lastModifiedBy>王代琨</cp:lastModifiedBy>
  <cp:revision>1</cp:revision>
  <dcterms:created xsi:type="dcterms:W3CDTF">2025-11-05T03:06:43Z</dcterms:created>
  <dcterms:modified xsi:type="dcterms:W3CDTF">2025-11-05T03:08:06Z</dcterms:modified>
</cp:coreProperties>
</file>